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:rsidR="004D56C3" w:rsidRDefault="004D56C3" w:rsidP="00F65348">
      <w:pPr>
        <w:pStyle w:val="TitleZone"/>
      </w:pPr>
    </w:p>
    <w:p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:rsidR="009035D4" w:rsidRDefault="005E40D5" w:rsidP="00F65348">
      <w:pPr>
        <w:pStyle w:val="TitleZone"/>
      </w:pPr>
      <w:r>
        <w:t>Grounding and bonding for electrical systems</w:t>
      </w:r>
    </w:p>
    <w:p w:rsidR="00F65348" w:rsidRDefault="000E6688" w:rsidP="00F75FF8">
      <w:pPr>
        <w:pStyle w:val="PARTS"/>
      </w:pPr>
      <w:r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5F45ED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:rsidR="006C6829" w:rsidRDefault="004869A9" w:rsidP="00034BAF">
      <w:pPr>
        <w:pStyle w:val="ARTICLES"/>
      </w:pPr>
      <w:r>
        <w:t>CPC Series Copper pipe clamps</w:t>
      </w:r>
    </w:p>
    <w:p w:rsidR="00034BAF" w:rsidRDefault="00034BAF" w:rsidP="00034BAF">
      <w:pPr>
        <w:pStyle w:val="PARA1"/>
      </w:pPr>
      <w:r>
        <w:t>Basis of Design: Subject to compliance with requirements</w:t>
      </w:r>
      <w:r w:rsidR="00C851D3">
        <w:t>,</w:t>
      </w:r>
      <w:r w:rsidR="00FF0AA4">
        <w:t xml:space="preserve"> provide </w:t>
      </w:r>
      <w:r w:rsidR="004869A9">
        <w:t xml:space="preserve">Harger Lightning &amp; Grounding </w:t>
      </w:r>
      <w:hyperlink r:id="rId11" w:history="1">
        <w:r w:rsidR="004869A9" w:rsidRPr="004869A9">
          <w:rPr>
            <w:rStyle w:val="Hyperlink"/>
          </w:rPr>
          <w:t>CPC Series</w:t>
        </w:r>
      </w:hyperlink>
      <w:r w:rsidR="004869A9">
        <w:t xml:space="preserve"> Pipe Clamps</w:t>
      </w:r>
    </w:p>
    <w:p w:rsidR="00034BAF" w:rsidRDefault="00256DB8" w:rsidP="00034BAF">
      <w:pPr>
        <w:pStyle w:val="PARA1"/>
      </w:pPr>
      <w:r>
        <w:t>Product Features:</w:t>
      </w:r>
    </w:p>
    <w:p w:rsidR="00256DB8" w:rsidRDefault="00256DB8" w:rsidP="00256DB8">
      <w:pPr>
        <w:pStyle w:val="PARA2"/>
      </w:pPr>
      <w:r>
        <w:t>Wide conductor range: #6 AWG through 250MCM</w:t>
      </w:r>
    </w:p>
    <w:p w:rsidR="00256DB8" w:rsidRPr="00256DB8" w:rsidRDefault="00256DB8" w:rsidP="00256DB8">
      <w:pPr>
        <w:pStyle w:val="PARA2"/>
      </w:pPr>
      <w:r>
        <w:t>Standard component is electro-tin plated bronze and includes stainless steel hardware</w:t>
      </w:r>
    </w:p>
    <w:p w:rsidR="005F45ED" w:rsidRDefault="005F45ED" w:rsidP="00256DB8">
      <w:pPr>
        <w:pStyle w:val="PARA2"/>
      </w:pPr>
      <w:r>
        <w:t>“Quick connect”, bi-directional design</w:t>
      </w:r>
    </w:p>
    <w:p w:rsidR="00256DB8" w:rsidRDefault="00256DB8" w:rsidP="00256DB8">
      <w:pPr>
        <w:pStyle w:val="PARA2"/>
      </w:pPr>
      <w:r>
        <w:t xml:space="preserve">Dual listed to </w:t>
      </w:r>
      <w:r w:rsidRPr="00256DB8">
        <w:rPr>
          <w:vertAlign w:val="subscript"/>
        </w:rPr>
        <w:t>C</w:t>
      </w:r>
      <w:r>
        <w:t>(UL)</w:t>
      </w:r>
      <w:r w:rsidRPr="00256DB8">
        <w:rPr>
          <w:vertAlign w:val="subscript"/>
        </w:rPr>
        <w:t>US</w:t>
      </w:r>
      <w:r>
        <w:t xml:space="preserve"> 96 &amp; </w:t>
      </w:r>
      <w:r w:rsidRPr="00256DB8">
        <w:rPr>
          <w:vertAlign w:val="subscript"/>
        </w:rPr>
        <w:t>C</w:t>
      </w:r>
      <w:r>
        <w:t>(UL)</w:t>
      </w:r>
      <w:r w:rsidRPr="00256DB8">
        <w:rPr>
          <w:vertAlign w:val="subscript"/>
        </w:rPr>
        <w:t>US</w:t>
      </w:r>
      <w:r>
        <w:t xml:space="preserve"> 467</w:t>
      </w:r>
    </w:p>
    <w:p w:rsidR="005F45ED" w:rsidRPr="005F45ED" w:rsidRDefault="00256DB8" w:rsidP="005F45ED">
      <w:pPr>
        <w:pStyle w:val="PARA2"/>
      </w:pPr>
      <w:r>
        <w:t>Suitable for direct burial in earth &amp; concrete</w:t>
      </w:r>
      <w:bookmarkStart w:id="0" w:name="_GoBack"/>
      <w:bookmarkEnd w:id="0"/>
    </w:p>
    <w:p w:rsidR="004869A9" w:rsidRDefault="004869A9" w:rsidP="00256DB8">
      <w:pPr>
        <w:pStyle w:val="PARA1"/>
      </w:pPr>
      <w:r>
        <w:t>Applicable Part Numbers:</w:t>
      </w: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2260"/>
        <w:gridCol w:w="2144"/>
        <w:gridCol w:w="2076"/>
      </w:tblGrid>
      <w:tr w:rsidR="004869A9" w:rsidTr="00256DB8">
        <w:trPr>
          <w:jc w:val="center"/>
        </w:trPr>
        <w:tc>
          <w:tcPr>
            <w:tcW w:w="2260" w:type="dxa"/>
            <w:shd w:val="clear" w:color="auto" w:fill="D9D9D9" w:themeFill="background1" w:themeFillShade="D9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Part Number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Nominal Pipe Range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Actual Pipe Range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</w:tcPr>
          <w:p w:rsidR="004869A9" w:rsidRDefault="005F45ED" w:rsidP="00E02991">
            <w:pPr>
              <w:pStyle w:val="PARA2"/>
              <w:numPr>
                <w:ilvl w:val="0"/>
                <w:numId w:val="0"/>
              </w:numPr>
              <w:jc w:val="center"/>
            </w:pPr>
            <w:hyperlink r:id="rId12" w:history="1">
              <w:r w:rsidR="004869A9" w:rsidRPr="004869A9">
                <w:rPr>
                  <w:rStyle w:val="Hyperlink"/>
                </w:rPr>
                <w:t>CPC.5/.75</w:t>
              </w:r>
            </w:hyperlink>
            <w:r w:rsidR="00256DB8">
              <w:t>*</w:t>
            </w:r>
          </w:p>
        </w:tc>
        <w:tc>
          <w:tcPr>
            <w:tcW w:w="2144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1/2” – 3/4”</w:t>
            </w:r>
          </w:p>
        </w:tc>
        <w:tc>
          <w:tcPr>
            <w:tcW w:w="2076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.375” – 1.0”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  <w:shd w:val="clear" w:color="auto" w:fill="F2F2F2" w:themeFill="background1" w:themeFillShade="F2"/>
          </w:tcPr>
          <w:p w:rsidR="004869A9" w:rsidRDefault="005F45ED" w:rsidP="004869A9">
            <w:pPr>
              <w:pStyle w:val="PARA2"/>
              <w:numPr>
                <w:ilvl w:val="0"/>
                <w:numId w:val="0"/>
              </w:numPr>
              <w:jc w:val="center"/>
            </w:pPr>
            <w:hyperlink r:id="rId13" w:history="1">
              <w:r w:rsidR="004869A9" w:rsidRPr="004869A9">
                <w:rPr>
                  <w:rStyle w:val="Hyperlink"/>
                </w:rPr>
                <w:t>CPC1/1.25</w:t>
              </w:r>
            </w:hyperlink>
            <w:r w:rsidR="00256DB8">
              <w:t>*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1” – 1-1/4”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.75” – 1.70”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</w:tcPr>
          <w:p w:rsidR="004869A9" w:rsidRDefault="005F45ED" w:rsidP="00E02991">
            <w:pPr>
              <w:pStyle w:val="PARA2"/>
              <w:numPr>
                <w:ilvl w:val="0"/>
                <w:numId w:val="0"/>
              </w:numPr>
              <w:jc w:val="center"/>
            </w:pPr>
            <w:hyperlink r:id="rId14" w:history="1">
              <w:r w:rsidR="004869A9" w:rsidRPr="004869A9">
                <w:rPr>
                  <w:rStyle w:val="Hyperlink"/>
                </w:rPr>
                <w:t>CPC1.5/2</w:t>
              </w:r>
            </w:hyperlink>
            <w:r w:rsidR="00256DB8">
              <w:t>*</w:t>
            </w:r>
          </w:p>
        </w:tc>
        <w:tc>
          <w:tcPr>
            <w:tcW w:w="2144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1-1/2” – 2”</w:t>
            </w:r>
          </w:p>
        </w:tc>
        <w:tc>
          <w:tcPr>
            <w:tcW w:w="2076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1.0” – 2.4”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  <w:shd w:val="clear" w:color="auto" w:fill="F2F2F2" w:themeFill="background1" w:themeFillShade="F2"/>
          </w:tcPr>
          <w:p w:rsidR="004869A9" w:rsidRDefault="005F45ED" w:rsidP="00E02991">
            <w:pPr>
              <w:pStyle w:val="PARA2"/>
              <w:numPr>
                <w:ilvl w:val="0"/>
                <w:numId w:val="0"/>
              </w:numPr>
              <w:jc w:val="center"/>
            </w:pPr>
            <w:hyperlink r:id="rId15" w:history="1">
              <w:r w:rsidR="004869A9" w:rsidRPr="004869A9">
                <w:rPr>
                  <w:rStyle w:val="Hyperlink"/>
                </w:rPr>
                <w:t>CPC2.5/3</w:t>
              </w:r>
            </w:hyperlink>
            <w:r w:rsidR="00256DB8">
              <w:t>*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2-1/2” – 3”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2.25” – 3.5”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</w:tcPr>
          <w:p w:rsidR="004869A9" w:rsidRDefault="005F45ED" w:rsidP="004869A9">
            <w:pPr>
              <w:pStyle w:val="PARA2"/>
              <w:numPr>
                <w:ilvl w:val="0"/>
                <w:numId w:val="0"/>
              </w:numPr>
              <w:jc w:val="center"/>
            </w:pPr>
            <w:hyperlink r:id="rId16" w:history="1">
              <w:r w:rsidR="004869A9" w:rsidRPr="004869A9">
                <w:rPr>
                  <w:rStyle w:val="Hyperlink"/>
                </w:rPr>
                <w:t>CPC3.5/4</w:t>
              </w:r>
            </w:hyperlink>
            <w:r w:rsidR="00256DB8">
              <w:t>*</w:t>
            </w:r>
          </w:p>
        </w:tc>
        <w:tc>
          <w:tcPr>
            <w:tcW w:w="2144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3-1/2” – 4”</w:t>
            </w:r>
          </w:p>
        </w:tc>
        <w:tc>
          <w:tcPr>
            <w:tcW w:w="2076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3.2” – 4.5”</w:t>
            </w:r>
          </w:p>
        </w:tc>
      </w:tr>
      <w:tr w:rsidR="00256DB8" w:rsidTr="00256DB8">
        <w:trPr>
          <w:jc w:val="center"/>
        </w:trPr>
        <w:tc>
          <w:tcPr>
            <w:tcW w:w="2260" w:type="dxa"/>
            <w:shd w:val="clear" w:color="auto" w:fill="F2F2F2" w:themeFill="background1" w:themeFillShade="F2"/>
          </w:tcPr>
          <w:p w:rsidR="004869A9" w:rsidRDefault="005F45ED" w:rsidP="004869A9">
            <w:pPr>
              <w:pStyle w:val="PARA2"/>
              <w:numPr>
                <w:ilvl w:val="0"/>
                <w:numId w:val="0"/>
              </w:numPr>
              <w:jc w:val="center"/>
            </w:pPr>
            <w:hyperlink r:id="rId17" w:history="1">
              <w:r w:rsidR="004869A9" w:rsidRPr="004869A9">
                <w:rPr>
                  <w:rStyle w:val="Hyperlink"/>
                </w:rPr>
                <w:t>CPC5/6</w:t>
              </w:r>
            </w:hyperlink>
            <w:r w:rsidR="00256DB8">
              <w:t>*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5” – 6”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4.75” – 6.63”</w:t>
            </w:r>
          </w:p>
        </w:tc>
      </w:tr>
      <w:tr w:rsidR="00256DB8" w:rsidTr="00256DB8">
        <w:trPr>
          <w:jc w:val="center"/>
        </w:trPr>
        <w:tc>
          <w:tcPr>
            <w:tcW w:w="6480" w:type="dxa"/>
            <w:gridSpan w:val="3"/>
            <w:shd w:val="clear" w:color="auto" w:fill="FFFFFF" w:themeFill="background1"/>
          </w:tcPr>
          <w:p w:rsidR="00256DB8" w:rsidRDefault="00256DB8" w:rsidP="00256DB8">
            <w:pPr>
              <w:pStyle w:val="PARA2"/>
              <w:numPr>
                <w:ilvl w:val="0"/>
                <w:numId w:val="0"/>
              </w:numPr>
              <w:spacing w:before="0" w:after="0"/>
            </w:pPr>
            <w:r>
              <w:t>*The following suffixes are available:</w:t>
            </w:r>
          </w:p>
          <w:p w:rsidR="00256DB8" w:rsidRDefault="00256DB8" w:rsidP="00256DB8">
            <w:pPr>
              <w:pStyle w:val="PARA1"/>
              <w:numPr>
                <w:ilvl w:val="0"/>
                <w:numId w:val="0"/>
              </w:numPr>
              <w:spacing w:before="0" w:after="0"/>
              <w:ind w:left="1008" w:hanging="432"/>
            </w:pPr>
            <w:r>
              <w:t>“TP” – Tamper Proof Hardware</w:t>
            </w:r>
          </w:p>
          <w:p w:rsidR="00256DB8" w:rsidRPr="00256DB8" w:rsidRDefault="00256DB8" w:rsidP="00256DB8">
            <w:pPr>
              <w:pStyle w:val="PARA1"/>
              <w:numPr>
                <w:ilvl w:val="0"/>
                <w:numId w:val="0"/>
              </w:numPr>
              <w:spacing w:before="0" w:after="0"/>
              <w:ind w:left="1008" w:hanging="432"/>
            </w:pPr>
            <w:r>
              <w:t>“SB” – Silicon Bronze Hardware</w:t>
            </w:r>
          </w:p>
        </w:tc>
      </w:tr>
    </w:tbl>
    <w:p w:rsidR="00E96E9C" w:rsidRDefault="00E96E9C" w:rsidP="00E96E9C">
      <w:pPr>
        <w:pStyle w:val="EOS"/>
      </w:pPr>
    </w:p>
    <w:p w:rsidR="00553A4E" w:rsidRDefault="006A7915" w:rsidP="00E96E9C">
      <w:pPr>
        <w:pStyle w:val="EOS"/>
      </w:pPr>
      <w:r>
        <w:t>END OF SECTION</w:t>
      </w:r>
    </w:p>
    <w:p w:rsidR="00553A4E" w:rsidRDefault="00553A4E" w:rsidP="005C74F0"/>
    <w:sectPr w:rsidR="00553A4E" w:rsidSect="004D56C3">
      <w:headerReference w:type="default" r:id="rId18"/>
      <w:footerReference w:type="default" r:id="rId19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5F45ED">
            <w:rPr>
              <w:rFonts w:cs="Arial"/>
              <w:noProof/>
              <w:szCs w:val="20"/>
            </w:rPr>
            <w:t>2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D17646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01/01/2018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E52F1"/>
    <w:rsid w:val="000E6688"/>
    <w:rsid w:val="001101C2"/>
    <w:rsid w:val="001C12B0"/>
    <w:rsid w:val="001D1D5E"/>
    <w:rsid w:val="001E6B57"/>
    <w:rsid w:val="001F3A7C"/>
    <w:rsid w:val="00256DB8"/>
    <w:rsid w:val="002C39EB"/>
    <w:rsid w:val="002E4B6D"/>
    <w:rsid w:val="00301210"/>
    <w:rsid w:val="00320A8B"/>
    <w:rsid w:val="0034372C"/>
    <w:rsid w:val="003A6C8B"/>
    <w:rsid w:val="00431BA0"/>
    <w:rsid w:val="00472F96"/>
    <w:rsid w:val="004869A9"/>
    <w:rsid w:val="004A69DE"/>
    <w:rsid w:val="004C27F7"/>
    <w:rsid w:val="004C7145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C74F0"/>
    <w:rsid w:val="005E40D5"/>
    <w:rsid w:val="005E4F09"/>
    <w:rsid w:val="005F45ED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2DA6"/>
    <w:rsid w:val="00851D5D"/>
    <w:rsid w:val="00867141"/>
    <w:rsid w:val="008859A1"/>
    <w:rsid w:val="008B4C28"/>
    <w:rsid w:val="008D0794"/>
    <w:rsid w:val="008F3D4D"/>
    <w:rsid w:val="009035D4"/>
    <w:rsid w:val="00951CB2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37A49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23AF"/>
    <w:rsid w:val="00C2715B"/>
    <w:rsid w:val="00C67FEA"/>
    <w:rsid w:val="00C773C1"/>
    <w:rsid w:val="00C851D3"/>
    <w:rsid w:val="00C949DD"/>
    <w:rsid w:val="00CD7790"/>
    <w:rsid w:val="00D008DF"/>
    <w:rsid w:val="00D14DBF"/>
    <w:rsid w:val="00D17646"/>
    <w:rsid w:val="00D20930"/>
    <w:rsid w:val="00D513C1"/>
    <w:rsid w:val="00D548DD"/>
    <w:rsid w:val="00D87395"/>
    <w:rsid w:val="00DD6588"/>
    <w:rsid w:val="00E177E7"/>
    <w:rsid w:val="00E33D36"/>
    <w:rsid w:val="00E72415"/>
    <w:rsid w:val="00E96E9C"/>
    <w:rsid w:val="00EE6E35"/>
    <w:rsid w:val="00EF383F"/>
    <w:rsid w:val="00F22E24"/>
    <w:rsid w:val="00F34875"/>
    <w:rsid w:val="00F65348"/>
    <w:rsid w:val="00F75FF8"/>
    <w:rsid w:val="00F7797E"/>
    <w:rsid w:val="00F8009B"/>
    <w:rsid w:val="00FD2DD8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rger.com/products/idx.cfm?subc4id=222&amp;p=1&amp;thid=601&amp;footid=0&amp;footinfoid=0&amp;oiid=79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harger.com/products/idx.cfm?subc4id=221&amp;p=1&amp;thid=600&amp;footid=0&amp;footinfoid=0&amp;oiid=791" TargetMode="External"/><Relationship Id="rId17" Type="http://schemas.openxmlformats.org/officeDocument/2006/relationships/hyperlink" Target="http://www.harger.com/products/idx.cfm?subc4id=355&amp;p=1&amp;thid=830&amp;footid=0&amp;footinfoid=0&amp;oiid=9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arger.com/products/idx.cfm?subc4id=355&amp;p=1&amp;thid=830&amp;footid=0&amp;footinfoid=0&amp;oiid=9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rger.com/products/idx.cfm?subc4id=355&amp;p=1&amp;thid=830&amp;footid=0&amp;footinfoid=0&amp;oiid=9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rger.com/products/idx.cfm?subc4id=355&amp;p=1&amp;thid=830&amp;footid=0&amp;footinfoid=0&amp;oiid=919" TargetMode="External"/><Relationship Id="rId10" Type="http://schemas.openxmlformats.org/officeDocument/2006/relationships/hyperlink" Target="file:///\\dronebee\sys\Shared\LP%20Product%20Development\Specifications\hargersales@harger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hyperlink" Target="http://www.harger.com/products/idx.cfm?subc4id=223&amp;p=1&amp;thid=602&amp;footid=0&amp;footinfoid=0&amp;oiid=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5057-C92E-483F-B4E4-A711500A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Chris Carlson</cp:lastModifiedBy>
  <cp:revision>4</cp:revision>
  <cp:lastPrinted>2017-04-06T13:07:00Z</cp:lastPrinted>
  <dcterms:created xsi:type="dcterms:W3CDTF">2018-01-16T15:50:00Z</dcterms:created>
  <dcterms:modified xsi:type="dcterms:W3CDTF">2018-01-17T14:45:00Z</dcterms:modified>
</cp:coreProperties>
</file>